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00EB18CA">
        <w:rPr>
          <w:rFonts w:asciiTheme="minorHAnsi" w:hAnsiTheme="minorHAnsi"/>
          <w:b/>
          <w:bCs/>
          <w:sz w:val="22"/>
          <w:szCs w:val="22"/>
        </w:rPr>
        <w:t>z dnia………………………….</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F8160E" w:rsidP="00F8160E">
      <w:pPr>
        <w:rPr>
          <w:rFonts w:ascii="Calibri" w:hAnsi="Calibri" w:cs="Tahoma"/>
          <w:sz w:val="22"/>
          <w:szCs w:val="22"/>
        </w:rPr>
      </w:pPr>
      <w:r>
        <w:rPr>
          <w:rFonts w:ascii="Calibri" w:hAnsi="Calibri" w:cs="Tahoma"/>
          <w:sz w:val="22"/>
          <w:szCs w:val="22"/>
        </w:rPr>
        <w:t xml:space="preserve">a </w:t>
      </w:r>
    </w:p>
    <w:p w:rsidR="00752D79" w:rsidRDefault="00752D79" w:rsidP="00F8160E">
      <w:pPr>
        <w:rPr>
          <w:rFonts w:ascii="Calibri" w:hAnsi="Calibri" w:cs="Tahoma"/>
          <w:sz w:val="22"/>
          <w:szCs w:val="22"/>
        </w:rPr>
      </w:pPr>
      <w:r w:rsidRPr="00752D79">
        <w:rPr>
          <w:rFonts w:ascii="Calibri" w:hAnsi="Calibri" w:cs="Tahoma"/>
          <w:sz w:val="22"/>
          <w:szCs w:val="22"/>
        </w:rPr>
        <w:t xml:space="preserve">a  indywidualna praktyka lekarska – </w:t>
      </w:r>
    </w:p>
    <w:p w:rsidR="003C02C4" w:rsidRPr="004B571F" w:rsidRDefault="00326A64" w:rsidP="00326A64">
      <w:pPr>
        <w:pStyle w:val="Tekstpodstawowy"/>
        <w:spacing w:after="0" w:line="240" w:lineRule="auto"/>
        <w:rPr>
          <w:rFonts w:asciiTheme="minorHAnsi" w:hAnsiTheme="minorHAnsi"/>
          <w:sz w:val="22"/>
          <w:szCs w:val="22"/>
        </w:rPr>
      </w:pPr>
      <w:r>
        <w:rPr>
          <w:rFonts w:asciiTheme="minorHAnsi" w:hAnsiTheme="minorHAnsi"/>
          <w:sz w:val="22"/>
          <w:szCs w:val="22"/>
        </w:rPr>
        <w:t>z</w:t>
      </w:r>
      <w:r w:rsidR="003C02C4" w:rsidRPr="004B571F">
        <w:rPr>
          <w:rFonts w:asciiTheme="minorHAnsi" w:hAnsiTheme="minorHAnsi"/>
          <w:sz w:val="22"/>
          <w:szCs w:val="22"/>
        </w:rPr>
        <w:t>wan</w:t>
      </w:r>
      <w:r>
        <w:rPr>
          <w:rFonts w:asciiTheme="minorHAnsi" w:hAnsiTheme="minorHAnsi"/>
          <w:sz w:val="22"/>
          <w:szCs w:val="22"/>
        </w:rPr>
        <w:t>ym/ą</w:t>
      </w:r>
      <w:r w:rsidR="003C02C4"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00247BBA">
        <w:rPr>
          <w:rFonts w:asciiTheme="minorHAnsi" w:hAnsiTheme="minorHAnsi"/>
          <w:bCs/>
          <w:sz w:val="22"/>
          <w:szCs w:val="22"/>
        </w:rPr>
        <w:t>w  dniu 1.08.22</w:t>
      </w:r>
      <w:r>
        <w:rPr>
          <w:rFonts w:asciiTheme="minorHAnsi" w:hAnsiTheme="minorHAnsi"/>
          <w:bCs/>
          <w:sz w:val="22"/>
          <w:szCs w:val="22"/>
        </w:rPr>
        <w:t xml:space="preserve"> 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9D0D93">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Pr="00983B23">
        <w:rPr>
          <w:rFonts w:ascii="Calibri" w:hAnsi="Calibri" w:cs="Tahoma"/>
          <w:sz w:val="22"/>
          <w:szCs w:val="22"/>
        </w:rPr>
        <w:t xml:space="preserve">przez lekarza specjalistę </w:t>
      </w:r>
      <w:r w:rsidR="00247BBA">
        <w:rPr>
          <w:rFonts w:ascii="Calibri" w:hAnsi="Calibri" w:cs="Tahoma"/>
          <w:sz w:val="22"/>
          <w:szCs w:val="22"/>
        </w:rPr>
        <w:t>w</w:t>
      </w:r>
      <w:r w:rsidR="0000584F">
        <w:rPr>
          <w:rFonts w:ascii="Calibri" w:hAnsi="Calibri" w:cs="Tahoma"/>
          <w:sz w:val="22"/>
          <w:szCs w:val="22"/>
        </w:rPr>
        <w:t>…………</w:t>
      </w:r>
      <w:bookmarkStart w:id="1" w:name="_GoBack"/>
      <w:bookmarkEnd w:id="1"/>
      <w:r w:rsidR="00247BBA">
        <w:rPr>
          <w:rFonts w:ascii="Calibri" w:hAnsi="Calibri" w:cs="Tahoma"/>
          <w:sz w:val="22"/>
          <w:szCs w:val="22"/>
        </w:rPr>
        <w:t xml:space="preserve"> Uniwersyteckim Szpitalu Dziecięcym </w:t>
      </w:r>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2"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3" w:name="_Toc505032486"/>
      <w:r w:rsidRPr="004B571F">
        <w:rPr>
          <w:rStyle w:val="Pogrubienie"/>
          <w:rFonts w:asciiTheme="minorHAnsi" w:hAnsiTheme="minorHAnsi"/>
          <w:bCs/>
          <w:sz w:val="22"/>
          <w:szCs w:val="22"/>
        </w:rPr>
        <w:t>Obowiązki Pr</w:t>
      </w:r>
      <w:bookmarkEnd w:id="3"/>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lastRenderedPageBreak/>
        <w:t xml:space="preserve">Jeżeli Procesor poweźmie wątpliwości co do zgodności z prawem wydanych przez Administratora poleceń lub instrukcji, Przetwarzający natychmiast informuje 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7"/>
      <w:r w:rsidRPr="004B571F">
        <w:rPr>
          <w:rFonts w:asciiTheme="minorHAnsi" w:hAnsiTheme="minorHAnsi"/>
          <w:b/>
          <w:bCs/>
          <w:sz w:val="22"/>
          <w:szCs w:val="22"/>
        </w:rPr>
        <w:t>Obowiązki Administratora</w:t>
      </w:r>
      <w:bookmarkEnd w:id="4"/>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8"/>
      <w:r w:rsidRPr="004B571F">
        <w:rPr>
          <w:rStyle w:val="Pogrubienie"/>
          <w:rFonts w:asciiTheme="minorHAnsi" w:hAnsiTheme="minorHAnsi"/>
          <w:bCs/>
          <w:sz w:val="22"/>
          <w:szCs w:val="22"/>
        </w:rPr>
        <w:t>Bezpieczeństwo danych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7" w:name="_Toc505032490"/>
      <w:r w:rsidRPr="004B571F">
        <w:rPr>
          <w:rStyle w:val="Pogrubienie"/>
          <w:rFonts w:asciiTheme="minorHAnsi" w:hAnsiTheme="minorHAnsi"/>
          <w:bCs/>
          <w:sz w:val="22"/>
          <w:szCs w:val="22"/>
        </w:rPr>
        <w:t>Nadzór</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8"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8"/>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 xml:space="preserve">Na żądanie Administratora Procesor okaże Administratorowi stosowne referencje, wykaz doświadczenia, informacje finansowe, raporty z audytów, certyfikaty lub inne dowody, iż Procesor zapewnia wystarczające gwarancje wdrożenia odpowiednich środków 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9" w:name="_Toc505032492"/>
      <w:r w:rsidRPr="004B571F">
        <w:rPr>
          <w:rStyle w:val="Pogrubienie"/>
          <w:rFonts w:asciiTheme="minorHAnsi" w:hAnsiTheme="minorHAnsi"/>
          <w:bCs/>
          <w:sz w:val="22"/>
          <w:szCs w:val="22"/>
        </w:rPr>
        <w:t>Odpowiedzialność</w:t>
      </w:r>
      <w:bookmarkEnd w:id="9"/>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0"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10"/>
    </w:p>
    <w:p w:rsidR="003C02C4" w:rsidRPr="004B571F" w:rsidRDefault="003C02C4" w:rsidP="003C02C4">
      <w:pPr>
        <w:pStyle w:val="Tekstpodstawowy"/>
        <w:numPr>
          <w:ilvl w:val="1"/>
          <w:numId w:val="1"/>
        </w:numPr>
        <w:spacing w:after="0" w:line="240" w:lineRule="auto"/>
        <w:jc w:val="both"/>
        <w:rPr>
          <w:rFonts w:asciiTheme="minorHAnsi" w:hAnsiTheme="minorHAnsi"/>
          <w:b/>
          <w:bCs/>
          <w:i/>
          <w:color w:val="FF0000"/>
          <w:sz w:val="22"/>
          <w:szCs w:val="22"/>
        </w:rPr>
      </w:pPr>
      <w:r w:rsidRPr="004B571F">
        <w:rPr>
          <w:rFonts w:asciiTheme="minorHAnsi" w:hAnsiTheme="minorHAnsi"/>
          <w:sz w:val="22"/>
          <w:szCs w:val="22"/>
        </w:rPr>
        <w:t xml:space="preserve">Umowa obowiązuje od dnia 1 </w:t>
      </w:r>
      <w:r>
        <w:rPr>
          <w:rFonts w:asciiTheme="minorHAnsi" w:hAnsiTheme="minorHAnsi"/>
          <w:sz w:val="22"/>
          <w:szCs w:val="22"/>
        </w:rPr>
        <w:t>lipca 202</w:t>
      </w:r>
      <w:r w:rsidR="00046C37">
        <w:rPr>
          <w:rFonts w:asciiTheme="minorHAnsi" w:hAnsiTheme="minorHAnsi"/>
          <w:sz w:val="22"/>
          <w:szCs w:val="22"/>
        </w:rPr>
        <w:t>2</w:t>
      </w:r>
      <w:r w:rsidRPr="004B571F">
        <w:rPr>
          <w:rFonts w:asciiTheme="minorHAnsi" w:hAnsiTheme="minorHAnsi"/>
          <w:sz w:val="22"/>
          <w:szCs w:val="22"/>
        </w:rPr>
        <w:t xml:space="preserve"> roku i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2"/>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0584F"/>
    <w:rsid w:val="00046C37"/>
    <w:rsid w:val="00247BBA"/>
    <w:rsid w:val="00326A64"/>
    <w:rsid w:val="003C02C4"/>
    <w:rsid w:val="00752D79"/>
    <w:rsid w:val="009D0D93"/>
    <w:rsid w:val="00C313D0"/>
    <w:rsid w:val="00EB18CA"/>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47B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7BB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2035</Words>
  <Characters>12215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7</cp:revision>
  <cp:lastPrinted>2022-12-13T08:37:00Z</cp:lastPrinted>
  <dcterms:created xsi:type="dcterms:W3CDTF">2020-06-26T06:17:00Z</dcterms:created>
  <dcterms:modified xsi:type="dcterms:W3CDTF">2022-12-13T08:38:00Z</dcterms:modified>
</cp:coreProperties>
</file>